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4E4" w:rsidRPr="00BE16B7" w:rsidRDefault="00F57609" w:rsidP="00BE16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bg-BG"/>
        </w:rPr>
        <w:pict>
          <v:group id="_x0000_s1026" style="position:absolute;left:0;text-align:left;margin-left:-68.4pt;margin-top:-62.8pt;width:568.95pt;height:99pt;z-index:251657728" coordorigin="-216,54" coordsize="10416,198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4407;top:954;width:3927;height:108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zUwy9ECAAAOBgAADgAAAGRycy9lMm9Eb2MueG1srFRNb9swDL0P2H8QdE9tp06WGHUKN0WGAUVb&#10;rB16VmQpMSZLmqTEzob991GynabdDuuwi02RTxT5+HFx2dYC7ZmxlZI5Ts5ijJikqqzkJsdfHlej&#10;GUbWEVkSoSTL8YFZfLl4/+6i0Rkbq60SJTMInEibNTrHW+d0FkWWbllN7JnSTIKRK1MTB0eziUpD&#10;GvBei2gcx9OoUabURlFmLWivOyNeBP+cM+ruOLfMIZFjiM2Frwnftf9GiwuSbQzR24r2YZB/iKIm&#10;lYRHj66uiSNoZ6rfXNUVNcoq7s6oqiPFeUVZyAGySeJX2TxsiWYhFyDH6iNN9v+5pbf7e4OqMsfn&#10;GElSQ4keWevQlWrRuWen0TYD0IMGmGtBDVUe9BaUPumWm9r/IR0EduD5cOTWO6OgHKfz82k6wYiC&#10;bTqbzOJAfvR8WxvrPjJVIy/k2EDtAqVkf2MdRALQAeIfk2pVCRHqJ+QLBQA7DQsN0N0mGUQCokf6&#10;mEJxfiwnH8bFh8l8NC0myShN4tmoKOLx6HpVxEWcrpbz9OonRFGTJM0aaBMNTeYJAiJWgmz6knjz&#10;39WkJvRFBydJFHqnyw8chzyHUCPPfsdykNxBMJ+AkJ8Zh6oFsr0izAtbCoP2BDqdUMqkC3UKZADa&#10;ozgQ9paLPT5QFqh8y+WO/OFlJd3xcl1JZUJpX4Vdfh1C5h0eyDjJ24uuXbd9V65VeYCmNKobaqvp&#10;qoLOuSHW3RMDUwx9CJvJ3cGHC9XkWPUSRltlvv9J7/FQSLBi5MudY/ttRwzDSHySMHbzJE39GgmH&#10;FJoHDubUsj61yF29VFCOBHagpkH0eCcGkRtVP8ECK/yrYCKSwts5doO4dN2uggVIWVEEECwOTdyN&#10;fNDUu/bV8XPx2D4Ro/vhcdBBt2rYHyR7NUMd1t+Uqtg5xaswYJ7gjtWeeFg6oR/7Bem32uk5oJ7X&#10;+OIXAAAA//8DAFBLAwQUAAYACAAAACEA9Rs2Ut0AAAAKAQAADwAAAGRycy9kb3ducmV2LnhtbEyP&#10;TU/DMAyG70j8h8hI3FjCBmUtTScE4gpifEjcvMZrKxqnarK1/HvMCW62/Oj185ab2ffqSGPsAlu4&#10;XBhQxHVwHTcW3l4fL9agYkJ22AcmC98UYVOdnpRYuDDxCx23qVESwrFAC21KQ6F1rFvyGBdhIJbb&#10;Powek6xjo92Ik4T7Xi+NybTHjuVDiwPdt1R/bQ/ewvvT/vPjyjw3D/56mMJsNPtcW3t+Nt/dgko0&#10;pz8YfvVFHSpx2oUDu6h6C8ub1UpQC7mRTgJkWSbDTsh8bUBXpf5fofoBAAD//wMAUEsBAi0AFAAG&#10;AAgAAAAhAOSZw8D7AAAA4QEAABMAAAAAAAAAAAAAAAAAAAAAAFtDb250ZW50X1R5cGVzXS54bWxQ&#10;SwECLQAUAAYACAAAACEAI7Jq4dcAAACUAQAACwAAAAAAAAAAAAAAAAAsAQAAX3JlbHMvLnJlbHNQ&#10;SwECLQAUAAYACAAAACEAxzUwy9ECAAAOBgAADgAAAAAAAAAAAAAAAAAsAgAAZHJzL2Uyb0RvYy54&#10;bWxQSwECLQAUAAYACAAAACEA9Rs2Ut0AAAAKAQAADwAAAAAAAAAAAAAAAAApBQAAZHJzL2Rvd25y&#10;ZXYueG1sUEsFBgAAAAAEAAQA8wAAADMGAAAAAA==&#10;" filled="f" stroked="f">
              <v:textbox style="mso-next-textbox:#Text Box 3">
                <w:txbxContent>
                  <w:p w:rsidR="002634E4" w:rsidRPr="00167BA6" w:rsidRDefault="002634E4" w:rsidP="002634E4">
                    <w:pPr>
                      <w:pStyle w:val="a3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София 1618, бул. “Цар Борис III” 136</w:t>
                    </w:r>
                  </w:p>
                  <w:p w:rsidR="002634E4" w:rsidRPr="001766A4" w:rsidRDefault="002634E4" w:rsidP="002634E4">
                    <w:pPr>
                      <w:pStyle w:val="a3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тел.: 02/81-87-272, 02/81-87-222</w:t>
                    </w:r>
                  </w:p>
                  <w:p w:rsidR="002634E4" w:rsidRPr="00167BA6" w:rsidRDefault="002634E4" w:rsidP="002634E4">
                    <w:pPr>
                      <w:pStyle w:val="a3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</w:pP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 xml:space="preserve">факс: 02/81-87-267, </w:t>
                    </w:r>
                    <w:hyperlink r:id="rId9" w:history="1">
                      <w:r w:rsidRPr="00167BA6">
                        <w:rPr>
                          <w:rStyle w:val="a7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dfz</w:t>
                      </w:r>
                      <w:r w:rsidRPr="00167BA6">
                        <w:rPr>
                          <w:rStyle w:val="a7"/>
                          <w:rFonts w:ascii="Times New Roman" w:hAnsi="Times New Roman"/>
                          <w:color w:val="491407"/>
                          <w:sz w:val="18"/>
                          <w:szCs w:val="18"/>
                          <w:lang w:val="ru-RU"/>
                        </w:rPr>
                        <w:t>@</w:t>
                      </w:r>
                      <w:r w:rsidRPr="00167BA6">
                        <w:rPr>
                          <w:rStyle w:val="a7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dfz</w:t>
                      </w:r>
                      <w:r w:rsidRPr="00167BA6">
                        <w:rPr>
                          <w:rStyle w:val="a7"/>
                          <w:rFonts w:ascii="Times New Roman" w:hAnsi="Times New Roman"/>
                          <w:color w:val="491407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167BA6">
                        <w:rPr>
                          <w:rStyle w:val="a7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bg</w:t>
                      </w:r>
                    </w:hyperlink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 xml:space="preserve">, 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www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dfz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bg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8514;top:810;width:1686;height:1044">
              <v:imagedata r:id="rId10" o:title=""/>
            </v:shape>
            <v:shape id="Picture 21" o:spid="_x0000_s1029" type="#_x0000_t75" style="position:absolute;left:-216;top:54;width:4230;height:1980;visibility:visible">
              <v:imagedata r:id="rId11" o:title=""/>
            </v:shape>
          </v:group>
        </w:pict>
      </w:r>
    </w:p>
    <w:p w:rsidR="00E55D68" w:rsidRPr="00BE16B7" w:rsidRDefault="00E55D68" w:rsidP="00BE16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772E" w:rsidRPr="00BE16B7" w:rsidRDefault="00F3192A" w:rsidP="00BE16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E16B7">
        <w:rPr>
          <w:rFonts w:ascii="Times New Roman" w:hAnsi="Times New Roman"/>
          <w:sz w:val="24"/>
          <w:szCs w:val="24"/>
        </w:rPr>
        <w:t>Приложение №</w:t>
      </w:r>
      <w:r w:rsidR="00BE16B7" w:rsidRPr="00BE16B7">
        <w:rPr>
          <w:rFonts w:ascii="Times New Roman" w:hAnsi="Times New Roman"/>
          <w:sz w:val="24"/>
          <w:szCs w:val="24"/>
        </w:rPr>
        <w:t xml:space="preserve"> С-</w:t>
      </w:r>
      <w:r w:rsidRPr="00BE16B7">
        <w:rPr>
          <w:rFonts w:ascii="Times New Roman" w:hAnsi="Times New Roman"/>
          <w:sz w:val="24"/>
          <w:szCs w:val="24"/>
        </w:rPr>
        <w:t>3</w:t>
      </w:r>
      <w:r w:rsidR="003364C6" w:rsidRPr="00BE16B7">
        <w:rPr>
          <w:rFonts w:ascii="Times New Roman" w:hAnsi="Times New Roman"/>
          <w:sz w:val="24"/>
          <w:szCs w:val="24"/>
        </w:rPr>
        <w:br/>
        <w:t>към Условия за кандидатстване/Документи за информация</w:t>
      </w:r>
    </w:p>
    <w:p w:rsidR="00B9772E" w:rsidRPr="00BE16B7" w:rsidRDefault="00B9772E" w:rsidP="00BE16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34E4" w:rsidRDefault="00060E94" w:rsidP="00BE16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BE16B7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E527EB" w:rsidRPr="00E527EB" w:rsidRDefault="00E527EB" w:rsidP="00BE16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060E94" w:rsidRPr="00BE16B7" w:rsidRDefault="00060E94" w:rsidP="00BE16B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492124" w:rsidRPr="00BE16B7" w:rsidTr="00D624E5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Реф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Довърши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телни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работи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лв</w:t>
            </w:r>
            <w:proofErr w:type="spellEnd"/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/м2;</w:t>
            </w:r>
            <w:proofErr w:type="spellStart"/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лв</w:t>
            </w:r>
            <w:proofErr w:type="spellEnd"/>
            <w:r w:rsidRPr="00BE16B7">
              <w:rPr>
                <w:rFonts w:ascii="Times New Roman" w:hAnsi="Times New Roman"/>
                <w:i/>
                <w:sz w:val="24"/>
                <w:szCs w:val="24"/>
              </w:rPr>
              <w:t xml:space="preserve"> м3; </w:t>
            </w:r>
            <w:proofErr w:type="spellStart"/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лв</w:t>
            </w:r>
            <w:proofErr w:type="spellEnd"/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м'</w:t>
            </w:r>
            <w:proofErr w:type="spellEnd"/>
          </w:p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лв/дка/</w:t>
            </w:r>
          </w:p>
        </w:tc>
        <w:tc>
          <w:tcPr>
            <w:tcW w:w="567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 xml:space="preserve">/% от  колона </w:t>
            </w: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BE16B7" w:rsidRDefault="00492124" w:rsidP="00BE16B7">
            <w:pPr>
              <w:tabs>
                <w:tab w:val="left" w:pos="645"/>
              </w:tabs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Основни, помощни и обслужващи сгради, прилежащи площи към тях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С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града, вкл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>ючваща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 в обема си 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само административно - битови 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помещения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E16B7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Всеки тип сграда, свързана с изпълнението на обекта и непопадаща в определенията за СМР по точка 1, 3 и 4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Стопански сгради с технологично изискуема климатизация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9D331B">
        <w:trPr>
          <w:cantSplit/>
          <w:trHeight w:val="367"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 xml:space="preserve">Вертикална </w:t>
            </w:r>
            <w:r w:rsidRPr="00BE16B7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t>планировка и озеленяване:</w:t>
            </w:r>
          </w:p>
        </w:tc>
      </w:tr>
      <w:tr w:rsidR="00492124" w:rsidRPr="00BE16B7" w:rsidTr="009D331B">
        <w:trPr>
          <w:trHeight w:val="7902"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15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Вертикална планировка без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площадкови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 - площи с настилки от асфалтобетон, бетон, бетонови или тротоарни плочи, </w:t>
            </w:r>
            <w:proofErr w:type="spellStart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паркоместа</w:t>
            </w:r>
            <w:proofErr w:type="spellEnd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 и др.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Прилага се в случаите, когато не са предвидени дейности, свързани с </w:t>
            </w:r>
            <w:proofErr w:type="spellStart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площадкови</w:t>
            </w:r>
            <w:proofErr w:type="spellEnd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 инженерни мрежи.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не се включват площите, определени за дейности по:</w:t>
            </w:r>
          </w:p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– озеленяване;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подпорни стени;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подземни и надземни резервоари;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ПСОВ;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 xml:space="preserve">–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авторазтоварища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>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автомобилни везни;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дезинфекционни площадки;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дейностите, описани в СМР 7 (фундаментна плоча силози)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5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Вертикална планировка с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площадкови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 - площи с настилки от асфалтобетон, бетон, бетонови или тротоарни плочи, </w:t>
            </w:r>
            <w:proofErr w:type="spellStart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паркоместа</w:t>
            </w:r>
            <w:proofErr w:type="spellEnd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 и др., с предвидени </w:t>
            </w:r>
            <w:proofErr w:type="spellStart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площадкови</w:t>
            </w:r>
            <w:proofErr w:type="spellEnd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 мрежи и др., необходими за експлоатацията на обекта;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не се включват площите, определени за дейности описани в </w:t>
            </w: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„Забележка”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към СМР 5.1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Озеленяване/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Ландшафтна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архитектура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Огради: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Плътна масивна ограда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м`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Ограда, състояща се от: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плътна част: с височина до 0.60м и/или плътни (масивни) елементи с височина над 0.60м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и/или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прозирни елементи: метални, дървени (или др. материал) пана или отделни елементи;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 xml:space="preserve">включват се фундаментите на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оградните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елементи, както и врати/портали в оградата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</w: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не се включва лека прозирна ограда, описана в СМР 6.3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м`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9D331B">
        <w:trPr>
          <w:cantSplit/>
          <w:trHeight w:val="2544"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Телена ограда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оградна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мрежа, бодлива тел и др.), вкл. фундаментите на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оградните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м`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2124" w:rsidRPr="00BE16B7" w:rsidTr="009D331B">
        <w:trPr>
          <w:cantSplit/>
          <w:trHeight w:val="6746"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color w:val="E36C0A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Силозно стопанство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eastAsia="Times New Roman" w:hAnsi="Times New Roman"/>
                <w:color w:val="E36C0A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Включва доставка, монтаж и изпълнение на: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силози с плоско дъно и силози на крака с конусно дъно, с всички необходими аксесоари и елементи към тях, заедно с бетоновия фундамент, върху който са изградени;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система за активна вентилация, централизирана компютъризирана система за температурен контрол;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 xml:space="preserve">– елементи за механизация и автоматизация на силозното стопанство: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редлери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, елеватори,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шнекове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,клапи, шибри,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пасарелки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>, елеваторни кули, почистващи машини и др.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 xml:space="preserve">–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авторазтоварни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шахти - автоматизирани с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редлер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или гравитачен тип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куб.м.</w:t>
            </w:r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9D331B">
        <w:trPr>
          <w:cantSplit/>
          <w:trHeight w:val="225"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Фотоволтаични</w:t>
            </w:r>
            <w:proofErr w:type="spellEnd"/>
            <w:r w:rsidRPr="00BE16B7">
              <w:rPr>
                <w:rFonts w:ascii="Times New Roman" w:hAnsi="Times New Roman"/>
                <w:b/>
                <w:sz w:val="24"/>
                <w:szCs w:val="24"/>
              </w:rPr>
              <w:t xml:space="preserve"> (соларни) системи: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Автономни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фотоволтаични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(соларни) системи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Доставка и монтаж на автономна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фотоволтаична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kWp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Мрежови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фотоволтаични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(соларни) системи с инсталирана мощност до 15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kWp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включително</w:t>
            </w:r>
          </w:p>
        </w:tc>
        <w:tc>
          <w:tcPr>
            <w:tcW w:w="3960" w:type="dxa"/>
            <w:vMerge w:val="restart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Доставка и монтаж на мрежова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фотоволтаична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708" w:type="dxa"/>
            <w:vMerge w:val="restart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kWp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Мрежови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фотоволтаични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(соларни) системи с инсталирана мощност над 15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kWp</w:t>
            </w:r>
            <w:proofErr w:type="spellEnd"/>
          </w:p>
        </w:tc>
        <w:tc>
          <w:tcPr>
            <w:tcW w:w="3960" w:type="dxa"/>
            <w:vMerge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62D5B" w:rsidRPr="00BE16B7" w:rsidRDefault="00A62D5B" w:rsidP="00BE16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2124" w:rsidRPr="00BE16B7" w:rsidRDefault="00492124" w:rsidP="00BE16B7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BE16B7">
        <w:rPr>
          <w:szCs w:val="24"/>
        </w:rPr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колони </w:t>
      </w:r>
      <w:r w:rsidRPr="00BE16B7">
        <w:rPr>
          <w:b/>
          <w:i/>
          <w:szCs w:val="24"/>
        </w:rPr>
        <w:t>Е, Ж, З</w:t>
      </w:r>
      <w:r w:rsidRPr="00BE16B7">
        <w:rPr>
          <w:szCs w:val="24"/>
        </w:rPr>
        <w:t>и</w:t>
      </w:r>
      <w:r w:rsidRPr="00BE16B7">
        <w:rPr>
          <w:b/>
          <w:i/>
          <w:szCs w:val="24"/>
        </w:rPr>
        <w:t>И</w:t>
      </w:r>
      <w:r w:rsidRPr="00BE16B7">
        <w:rPr>
          <w:szCs w:val="24"/>
        </w:rPr>
        <w:t>.</w:t>
      </w:r>
    </w:p>
    <w:p w:rsidR="00492124" w:rsidRPr="00BE16B7" w:rsidRDefault="00492124" w:rsidP="00BE16B7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BE16B7">
        <w:rPr>
          <w:szCs w:val="24"/>
        </w:rPr>
        <w:t xml:space="preserve">При оценка на заявления за подпомагане, приети през 2018 г. по реда и условията определени в документите по чл. 26 от Закона за управление на средствата от европейските </w:t>
      </w:r>
      <w:r w:rsidRPr="00BE16B7">
        <w:rPr>
          <w:szCs w:val="24"/>
        </w:rPr>
        <w:lastRenderedPageBreak/>
        <w:t>структурни и инвестиционни фондове</w:t>
      </w:r>
      <w:r w:rsidRPr="00BE16B7">
        <w:rPr>
          <w:rFonts w:eastAsia="Calibri"/>
          <w:szCs w:val="24"/>
        </w:rPr>
        <w:t>, се</w:t>
      </w:r>
      <w:r w:rsidRPr="00BE16B7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BE16B7">
        <w:rPr>
          <w:szCs w:val="24"/>
          <w:vertAlign w:val="superscript"/>
        </w:rPr>
        <w:t>2</w:t>
      </w:r>
      <w:r w:rsidRPr="00BE16B7">
        <w:rPr>
          <w:szCs w:val="24"/>
        </w:rPr>
        <w:t xml:space="preserve">/) за финансиране на разходи за строително-монтажни работи за позиция </w:t>
      </w:r>
      <w:r w:rsidRPr="00BE16B7">
        <w:rPr>
          <w:b/>
          <w:i/>
          <w:szCs w:val="24"/>
          <w:lang w:val="ru-RU"/>
        </w:rPr>
        <w:t>5</w:t>
      </w:r>
      <w:r w:rsidRPr="00BE16B7">
        <w:rPr>
          <w:b/>
          <w:i/>
          <w:szCs w:val="24"/>
        </w:rPr>
        <w:t>.1 „</w:t>
      </w:r>
      <w:proofErr w:type="spellStart"/>
      <w:r w:rsidRPr="00BE16B7">
        <w:rPr>
          <w:b/>
          <w:i/>
          <w:szCs w:val="24"/>
          <w:lang w:val="ru-RU"/>
        </w:rPr>
        <w:t>Вертикална</w:t>
      </w:r>
      <w:proofErr w:type="spellEnd"/>
      <w:r w:rsidRPr="00BE16B7">
        <w:rPr>
          <w:b/>
          <w:i/>
          <w:szCs w:val="24"/>
          <w:lang w:val="ru-RU"/>
        </w:rPr>
        <w:t xml:space="preserve"> планировка без </w:t>
      </w:r>
      <w:proofErr w:type="spellStart"/>
      <w:r w:rsidRPr="00BE16B7">
        <w:rPr>
          <w:b/>
          <w:i/>
          <w:szCs w:val="24"/>
          <w:lang w:val="ru-RU"/>
        </w:rPr>
        <w:t>площадкови</w:t>
      </w:r>
      <w:proofErr w:type="spellEnd"/>
      <w:r w:rsidRPr="00BE16B7">
        <w:rPr>
          <w:b/>
          <w:i/>
          <w:szCs w:val="24"/>
          <w:lang w:val="ru-RU"/>
        </w:rPr>
        <w:t xml:space="preserve"> мрежи”</w:t>
      </w:r>
      <w:r w:rsidRPr="00BE16B7">
        <w:rPr>
          <w:szCs w:val="24"/>
        </w:rPr>
        <w:t xml:space="preserve">, позиция </w:t>
      </w:r>
      <w:r w:rsidRPr="00BE16B7">
        <w:rPr>
          <w:b/>
          <w:i/>
          <w:szCs w:val="24"/>
          <w:lang w:val="ru-RU"/>
        </w:rPr>
        <w:t>5</w:t>
      </w:r>
      <w:r w:rsidRPr="00BE16B7">
        <w:rPr>
          <w:b/>
          <w:i/>
          <w:szCs w:val="24"/>
        </w:rPr>
        <w:t>.2 „Вертикална</w:t>
      </w:r>
      <w:r w:rsidRPr="00BE16B7">
        <w:rPr>
          <w:b/>
          <w:i/>
          <w:szCs w:val="24"/>
          <w:lang w:val="ru-RU"/>
        </w:rPr>
        <w:t xml:space="preserve"> планировка с </w:t>
      </w:r>
      <w:proofErr w:type="spellStart"/>
      <w:r w:rsidRPr="00BE16B7">
        <w:rPr>
          <w:b/>
          <w:i/>
          <w:szCs w:val="24"/>
          <w:lang w:val="ru-RU"/>
        </w:rPr>
        <w:t>площадкови</w:t>
      </w:r>
      <w:proofErr w:type="spellEnd"/>
      <w:r w:rsidRPr="00BE16B7">
        <w:rPr>
          <w:b/>
          <w:i/>
          <w:szCs w:val="24"/>
          <w:lang w:val="ru-RU"/>
        </w:rPr>
        <w:t xml:space="preserve"> мрежи”</w:t>
      </w:r>
      <w:r w:rsidRPr="00BE16B7">
        <w:rPr>
          <w:szCs w:val="24"/>
          <w:lang w:eastAsia="zh-TW"/>
        </w:rPr>
        <w:t xml:space="preserve"> и позиция </w:t>
      </w:r>
      <w:r w:rsidRPr="00BE16B7">
        <w:rPr>
          <w:b/>
          <w:i/>
          <w:szCs w:val="24"/>
          <w:lang w:val="ru-RU" w:eastAsia="zh-TW"/>
        </w:rPr>
        <w:t>5</w:t>
      </w:r>
      <w:r w:rsidRPr="00BE16B7">
        <w:rPr>
          <w:b/>
          <w:i/>
          <w:szCs w:val="24"/>
          <w:lang w:eastAsia="zh-TW"/>
        </w:rPr>
        <w:t>.3 „Озеленяване/</w:t>
      </w:r>
      <w:proofErr w:type="spellStart"/>
      <w:r w:rsidRPr="00BE16B7">
        <w:rPr>
          <w:b/>
          <w:i/>
          <w:szCs w:val="24"/>
          <w:lang w:eastAsia="zh-TW"/>
        </w:rPr>
        <w:t>Ландшафтна</w:t>
      </w:r>
      <w:proofErr w:type="spellEnd"/>
      <w:r w:rsidRPr="00BE16B7">
        <w:rPr>
          <w:b/>
          <w:i/>
          <w:szCs w:val="24"/>
          <w:lang w:eastAsia="zh-TW"/>
        </w:rPr>
        <w:t xml:space="preserve"> архитектура”</w:t>
      </w:r>
      <w:r w:rsidRPr="00BE16B7">
        <w:rPr>
          <w:szCs w:val="24"/>
          <w:lang w:eastAsia="zh-TW"/>
        </w:rPr>
        <w:t xml:space="preserve"> като същите да не надвишават</w:t>
      </w:r>
      <w:r w:rsidRPr="00BE16B7">
        <w:rPr>
          <w:szCs w:val="24"/>
          <w:lang w:val="ru-RU"/>
        </w:rPr>
        <w:t>2.5</w:t>
      </w:r>
      <w:r w:rsidRPr="00BE16B7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 4.2. 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2014-2020</w:t>
      </w:r>
      <w:r w:rsidRPr="00BE16B7">
        <w:rPr>
          <w:rFonts w:eastAsia="Calibri"/>
          <w:szCs w:val="24"/>
        </w:rPr>
        <w:t xml:space="preserve"> от мярка 4. "Инвестиции в материални активи" от Програмата за развитие на селските райони за периода 2014 – 2020 г.”, открита през 2018 г.</w:t>
      </w:r>
    </w:p>
    <w:p w:rsidR="00492124" w:rsidRPr="00BE16B7" w:rsidRDefault="00492124" w:rsidP="00BE16B7">
      <w:pPr>
        <w:pStyle w:val="3"/>
        <w:ind w:firstLine="284"/>
        <w:rPr>
          <w:szCs w:val="24"/>
        </w:rPr>
      </w:pPr>
      <w:r w:rsidRPr="00BE16B7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492124" w:rsidRPr="00BE16B7" w:rsidRDefault="00492124" w:rsidP="00BE16B7">
      <w:pPr>
        <w:pStyle w:val="3"/>
        <w:ind w:firstLine="284"/>
        <w:rPr>
          <w:szCs w:val="24"/>
          <w:lang w:val="ru-RU"/>
        </w:rPr>
      </w:pPr>
      <w:r w:rsidRPr="00BE16B7">
        <w:rPr>
          <w:szCs w:val="24"/>
        </w:rPr>
        <w:t>2.2. При изчислението на разгънатата застроена площ /РЗП/ да бъдат включени само сградите, които действително функционират и се използват по предназначение и касаят допустими дейности, свързани със земеделското производство, включително такива, използвани за опазване на компонентите на околната среда.</w:t>
      </w:r>
    </w:p>
    <w:p w:rsidR="00492124" w:rsidRPr="00BE16B7" w:rsidRDefault="00492124" w:rsidP="00BE16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BE16B7" w:rsidRDefault="00492124" w:rsidP="00BE16B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E16B7">
        <w:rPr>
          <w:rFonts w:ascii="Times New Roman" w:hAnsi="Times New Roman"/>
          <w:b/>
          <w:sz w:val="24"/>
          <w:szCs w:val="24"/>
        </w:rPr>
        <w:t>*</w:t>
      </w:r>
      <w:r w:rsidR="00A62D5B" w:rsidRPr="00BE16B7">
        <w:rPr>
          <w:rFonts w:ascii="Times New Roman" w:hAnsi="Times New Roman"/>
          <w:b/>
          <w:sz w:val="24"/>
          <w:szCs w:val="24"/>
        </w:rPr>
        <w:t>Забележка: Пределните разходи са определени в лв/м</w:t>
      </w:r>
      <w:r w:rsidR="00A62D5B" w:rsidRPr="00BE16B7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A62D5B" w:rsidRPr="00BE16B7"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 w:rsidR="00A62D5B" w:rsidRPr="00BE16B7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 w:rsidRPr="00BE16B7">
        <w:rPr>
          <w:rFonts w:ascii="Times New Roman" w:hAnsi="Times New Roman"/>
          <w:b/>
          <w:sz w:val="24"/>
          <w:szCs w:val="24"/>
        </w:rPr>
        <w:t>/м</w:t>
      </w:r>
      <w:r w:rsidR="00A62D5B" w:rsidRPr="00BE16B7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="00A62D5B" w:rsidRPr="00BE16B7">
        <w:rPr>
          <w:rFonts w:ascii="Times New Roman" w:hAnsi="Times New Roman"/>
          <w:b/>
          <w:sz w:val="24"/>
          <w:szCs w:val="24"/>
        </w:rPr>
        <w:t xml:space="preserve">; </w:t>
      </w:r>
      <w:proofErr w:type="spellStart"/>
      <w:r w:rsidR="00A62D5B" w:rsidRPr="00BE16B7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 w:rsidRPr="00BE16B7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A62D5B" w:rsidRPr="00BE16B7">
        <w:rPr>
          <w:rFonts w:ascii="Times New Roman" w:hAnsi="Times New Roman"/>
          <w:b/>
          <w:sz w:val="24"/>
          <w:szCs w:val="24"/>
        </w:rPr>
        <w:t>м'</w:t>
      </w:r>
      <w:proofErr w:type="spellEnd"/>
      <w:r w:rsidR="00A62D5B" w:rsidRPr="00BE16B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A62D5B" w:rsidRPr="00BE16B7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 w:rsidRPr="00BE16B7">
        <w:rPr>
          <w:rFonts w:ascii="Times New Roman" w:hAnsi="Times New Roman"/>
          <w:b/>
          <w:sz w:val="24"/>
          <w:szCs w:val="24"/>
        </w:rPr>
        <w:t>/дка се използват само където е приложимо.</w:t>
      </w:r>
    </w:p>
    <w:sectPr w:rsidR="005550C9" w:rsidRPr="00BE16B7" w:rsidSect="009E2D7F">
      <w:footerReference w:type="default" r:id="rId12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609" w:rsidRDefault="00F57609" w:rsidP="009E2D7F">
      <w:pPr>
        <w:spacing w:after="0" w:line="240" w:lineRule="auto"/>
      </w:pPr>
      <w:r>
        <w:separator/>
      </w:r>
    </w:p>
  </w:endnote>
  <w:endnote w:type="continuationSeparator" w:id="0">
    <w:p w:rsidR="00F57609" w:rsidRDefault="00F57609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D7F" w:rsidRPr="009E2D7F" w:rsidRDefault="009E2D7F" w:rsidP="009E2D7F">
    <w:pPr>
      <w:pStyle w:val="aa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>Page</w:t>
    </w:r>
    <w:r w:rsidR="00DE7787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DE7787" w:rsidRPr="009E2D7F">
      <w:rPr>
        <w:rFonts w:ascii="Times New Roman" w:hAnsi="Times New Roman"/>
        <w:b/>
        <w:sz w:val="20"/>
        <w:szCs w:val="20"/>
      </w:rPr>
      <w:fldChar w:fldCharType="separate"/>
    </w:r>
    <w:r w:rsidR="00E527EB">
      <w:rPr>
        <w:rFonts w:ascii="Times New Roman" w:hAnsi="Times New Roman"/>
        <w:b/>
        <w:noProof/>
        <w:sz w:val="20"/>
        <w:szCs w:val="20"/>
      </w:rPr>
      <w:t>1</w:t>
    </w:r>
    <w:r w:rsidR="00DE7787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E9201F">
      <w:rPr>
        <w:rFonts w:ascii="Times New Roman" w:hAnsi="Times New Roman"/>
        <w:b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609" w:rsidRDefault="00F57609" w:rsidP="009E2D7F">
      <w:pPr>
        <w:spacing w:after="0" w:line="240" w:lineRule="auto"/>
      </w:pPr>
      <w:r>
        <w:separator/>
      </w:r>
    </w:p>
  </w:footnote>
  <w:footnote w:type="continuationSeparator" w:id="0">
    <w:p w:rsidR="00F57609" w:rsidRDefault="00F57609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226B6"/>
    <w:rsid w:val="00037A4B"/>
    <w:rsid w:val="00045769"/>
    <w:rsid w:val="000557A2"/>
    <w:rsid w:val="00060E94"/>
    <w:rsid w:val="00066104"/>
    <w:rsid w:val="00086061"/>
    <w:rsid w:val="0008756C"/>
    <w:rsid w:val="000B0A8D"/>
    <w:rsid w:val="000E3D82"/>
    <w:rsid w:val="00123620"/>
    <w:rsid w:val="001C443F"/>
    <w:rsid w:val="00226CD6"/>
    <w:rsid w:val="0024611E"/>
    <w:rsid w:val="00257EA2"/>
    <w:rsid w:val="002634E4"/>
    <w:rsid w:val="00265914"/>
    <w:rsid w:val="00271170"/>
    <w:rsid w:val="0028080B"/>
    <w:rsid w:val="00292AC7"/>
    <w:rsid w:val="002B49AA"/>
    <w:rsid w:val="002D44DC"/>
    <w:rsid w:val="002D4FAC"/>
    <w:rsid w:val="003364C6"/>
    <w:rsid w:val="00351D49"/>
    <w:rsid w:val="0035348E"/>
    <w:rsid w:val="003A1B31"/>
    <w:rsid w:val="003B6CE8"/>
    <w:rsid w:val="003D1D2A"/>
    <w:rsid w:val="003E39D5"/>
    <w:rsid w:val="003F3E3D"/>
    <w:rsid w:val="003F46A4"/>
    <w:rsid w:val="004025E0"/>
    <w:rsid w:val="004058E0"/>
    <w:rsid w:val="00492124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E6525"/>
    <w:rsid w:val="00600482"/>
    <w:rsid w:val="00612EA8"/>
    <w:rsid w:val="0062687F"/>
    <w:rsid w:val="0068468C"/>
    <w:rsid w:val="00696E7D"/>
    <w:rsid w:val="006E0D64"/>
    <w:rsid w:val="00703C38"/>
    <w:rsid w:val="007205DB"/>
    <w:rsid w:val="00727264"/>
    <w:rsid w:val="00755A7A"/>
    <w:rsid w:val="007719B7"/>
    <w:rsid w:val="00771AA6"/>
    <w:rsid w:val="00796AB1"/>
    <w:rsid w:val="00797862"/>
    <w:rsid w:val="007B6A3D"/>
    <w:rsid w:val="007E493A"/>
    <w:rsid w:val="00824D17"/>
    <w:rsid w:val="0082582A"/>
    <w:rsid w:val="008451E0"/>
    <w:rsid w:val="00851FE7"/>
    <w:rsid w:val="0086611B"/>
    <w:rsid w:val="008A3F7E"/>
    <w:rsid w:val="008B69D9"/>
    <w:rsid w:val="008D17C1"/>
    <w:rsid w:val="0091036A"/>
    <w:rsid w:val="00912F18"/>
    <w:rsid w:val="00951942"/>
    <w:rsid w:val="00955088"/>
    <w:rsid w:val="00957251"/>
    <w:rsid w:val="009B4CAA"/>
    <w:rsid w:val="009B5E24"/>
    <w:rsid w:val="009D062A"/>
    <w:rsid w:val="009D331B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72E"/>
    <w:rsid w:val="00B97A28"/>
    <w:rsid w:val="00BB2344"/>
    <w:rsid w:val="00BB534F"/>
    <w:rsid w:val="00BD648D"/>
    <w:rsid w:val="00BE16B7"/>
    <w:rsid w:val="00BE5E08"/>
    <w:rsid w:val="00BF7822"/>
    <w:rsid w:val="00C034D8"/>
    <w:rsid w:val="00C7290C"/>
    <w:rsid w:val="00C8375B"/>
    <w:rsid w:val="00CA402F"/>
    <w:rsid w:val="00CA6D63"/>
    <w:rsid w:val="00CB7C51"/>
    <w:rsid w:val="00CE41DB"/>
    <w:rsid w:val="00D00DEF"/>
    <w:rsid w:val="00D157A4"/>
    <w:rsid w:val="00D17505"/>
    <w:rsid w:val="00D52250"/>
    <w:rsid w:val="00DB0256"/>
    <w:rsid w:val="00DC666F"/>
    <w:rsid w:val="00DE7787"/>
    <w:rsid w:val="00E0324A"/>
    <w:rsid w:val="00E12736"/>
    <w:rsid w:val="00E37E2F"/>
    <w:rsid w:val="00E425B5"/>
    <w:rsid w:val="00E527EB"/>
    <w:rsid w:val="00E55D68"/>
    <w:rsid w:val="00E65300"/>
    <w:rsid w:val="00E87E5B"/>
    <w:rsid w:val="00E9201F"/>
    <w:rsid w:val="00EA4F0C"/>
    <w:rsid w:val="00EB0B83"/>
    <w:rsid w:val="00F10978"/>
    <w:rsid w:val="00F1314E"/>
    <w:rsid w:val="00F167ED"/>
    <w:rsid w:val="00F25B52"/>
    <w:rsid w:val="00F3192A"/>
    <w:rsid w:val="00F35485"/>
    <w:rsid w:val="00F473AC"/>
    <w:rsid w:val="00F57609"/>
    <w:rsid w:val="00F70869"/>
    <w:rsid w:val="00FC1E8B"/>
    <w:rsid w:val="00FF7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semiHidden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styleId="ac">
    <w:name w:val="annotation reference"/>
    <w:basedOn w:val="a0"/>
    <w:uiPriority w:val="99"/>
    <w:semiHidden/>
    <w:unhideWhenUsed/>
    <w:rsid w:val="009D33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D331B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9D331B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D331B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D331B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dfz@dfz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2DF5E-AED8-48F5-BBC7-B7296BDE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Plamen Chingarov</cp:lastModifiedBy>
  <cp:revision>12</cp:revision>
  <cp:lastPrinted>2015-11-04T14:52:00Z</cp:lastPrinted>
  <dcterms:created xsi:type="dcterms:W3CDTF">2018-01-26T11:00:00Z</dcterms:created>
  <dcterms:modified xsi:type="dcterms:W3CDTF">2022-03-23T11:18:00Z</dcterms:modified>
</cp:coreProperties>
</file>